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Новый ГОСТ на энергетики введут в России с января 2027 года. Он устанавливает жёсткие требования к составу и характеристикам напитков, чтобы защитить здоровье потребителей и задать правила для производителей.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Содержание тонизирующих веществ (кроме кофеина) в одной банке не должно превышать 50% от допустимой суточной нормы. Цель — не повысить «ударную дозу» бодрости, а сделать её безопаснее и разнообразнее.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Введено ограничение по массе сухих веществ (в основном сахаров) — теперь в тонизирующих напитках их должно быть не более 10%, тогда как раньше эта норма была только для энергетиков.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  <w:lang w:val="ru-RU"/>
        </w:rPr>
        <w:t>В стандарт добавлен список природных адаптогенов: родиола розовая, элеутерококк, левзея, лимонник, женьшень и мате, традиционно используемых для стимуляции нервной системы.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lang w:val="ru-RU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  <w:font w:name="apple-system">
    <w:altName w:val="BlinkMacSystemFont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Application>LibreOffice/6.3.3.2$Windows_X86_64 LibreOffice_project/a64200df03143b798afd1ec74a12ab50359878ed</Application>
  <Pages>1</Pages>
  <Words>105</Words>
  <Characters>658</Characters>
  <CharactersWithSpaces>768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2026-03-16T11:03:16Z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